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before="0"/>
        <w:ind/>
        <w:rPr>
          <w:rFonts w:ascii="Times New Roman" w:hAnsi="Times New Roman"/>
          <w:strike w:val="1"/>
          <w:color w:val="000000"/>
          <w:sz w:val="24"/>
        </w:rPr>
      </w:pPr>
    </w:p>
    <w:p w14:paraId="02000000">
      <w:pPr>
        <w:spacing w:after="0" w:before="0"/>
        <w:ind/>
        <w:jc w:val="center"/>
        <w:rPr>
          <w:rFonts w:ascii="Times New Roman" w:hAnsi="Times New Roman"/>
          <w:b w:val="1"/>
          <w:color w:val="000000"/>
          <w:sz w:val="24"/>
        </w:rPr>
      </w:pPr>
      <w:r>
        <w:rPr>
          <w:rFonts w:ascii="Times New Roman" w:hAnsi="Times New Roman"/>
          <w:b w:val="1"/>
          <w:color w:val="000000"/>
          <w:sz w:val="24"/>
        </w:rPr>
        <w:t>Основные положения учетной политики (выдержки)</w:t>
      </w:r>
    </w:p>
    <w:p w14:paraId="03000000">
      <w:pPr>
        <w:spacing w:after="0" w:before="0"/>
        <w:ind/>
        <w:jc w:val="center"/>
        <w:rPr>
          <w:rFonts w:ascii="Times New Roman" w:hAnsi="Times New Roman"/>
          <w:color w:val="000000"/>
          <w:sz w:val="24"/>
        </w:rPr>
      </w:pPr>
    </w:p>
    <w:p w14:paraId="04000000">
      <w:pPr>
        <w:spacing w:after="0" w:before="0"/>
        <w:ind/>
        <w:jc w:val="center"/>
        <w:rPr>
          <w:rFonts w:ascii="Times New Roman" w:hAnsi="Times New Roman"/>
          <w:b w:val="1"/>
          <w:color w:val="000000"/>
          <w:sz w:val="24"/>
        </w:rPr>
      </w:pPr>
      <w:r>
        <w:rPr>
          <w:rFonts w:ascii="Times New Roman" w:hAnsi="Times New Roman"/>
          <w:b w:val="1"/>
          <w:color w:val="000000"/>
          <w:sz w:val="24"/>
        </w:rPr>
        <w:t>Федерального государственного бюджетного учреждения культуры «Российский государственный академический молодежный театр»</w:t>
      </w:r>
    </w:p>
    <w:p w14:paraId="05000000">
      <w:pPr>
        <w:spacing w:after="0" w:before="0"/>
        <w:ind/>
        <w:jc w:val="center"/>
        <w:rPr>
          <w:rFonts w:ascii="Times New Roman" w:hAnsi="Times New Roman"/>
          <w:color w:val="000000"/>
          <w:sz w:val="24"/>
        </w:rPr>
      </w:pPr>
      <w:bookmarkStart w:id="1" w:name="_GoBack"/>
      <w:bookmarkEnd w:id="1"/>
    </w:p>
    <w:p w14:paraId="06000000">
      <w:pPr>
        <w:spacing w:after="0" w:before="0"/>
        <w:ind/>
        <w:jc w:val="both"/>
        <w:rPr>
          <w:rFonts w:ascii="Times New Roman" w:hAnsi="Times New Roman"/>
          <w:color w:val="000000"/>
          <w:sz w:val="24"/>
        </w:rPr>
      </w:pPr>
      <w:r>
        <w:rPr>
          <w:rFonts w:ascii="Times New Roman" w:hAnsi="Times New Roman"/>
          <w:color w:val="000000"/>
          <w:sz w:val="24"/>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14:paraId="07000000">
      <w:pPr>
        <w:spacing w:after="0" w:before="0"/>
        <w:ind/>
        <w:jc w:val="both"/>
        <w:rPr>
          <w:rFonts w:ascii="Times New Roman" w:hAnsi="Times New Roman"/>
          <w:color w:val="FF0000"/>
          <w:sz w:val="24"/>
        </w:rPr>
      </w:pPr>
      <w:r>
        <w:rPr>
          <w:rFonts w:ascii="Times New Roman" w:hAnsi="Times New Roman"/>
          <w:color w:val="000000"/>
          <w:sz w:val="24"/>
        </w:rPr>
        <w:t xml:space="preserve">Учетная </w:t>
      </w:r>
      <w:r>
        <w:rPr>
          <w:rFonts w:ascii="Times New Roman" w:hAnsi="Times New Roman"/>
          <w:color w:val="000000"/>
          <w:sz w:val="24"/>
        </w:rPr>
        <w:t xml:space="preserve">политика </w:t>
      </w:r>
      <w:r>
        <w:rPr>
          <w:rFonts w:ascii="Times New Roman" w:hAnsi="Times New Roman"/>
          <w:color w:val="000000"/>
          <w:sz w:val="24"/>
        </w:rPr>
        <w:t>Федерального государственного бюджетного учреждения культуры «Российски</w:t>
      </w:r>
      <w:r>
        <w:rPr>
          <w:rFonts w:ascii="Times New Roman" w:hAnsi="Times New Roman"/>
          <w:color w:val="000000"/>
          <w:sz w:val="24"/>
        </w:rPr>
        <w:t>й</w:t>
      </w:r>
      <w:r>
        <w:rPr>
          <w:rFonts w:ascii="Times New Roman" w:hAnsi="Times New Roman"/>
          <w:color w:val="000000"/>
          <w:sz w:val="24"/>
        </w:rPr>
        <w:t xml:space="preserve"> государственный академический молодежный театр» (далее Театр) </w:t>
      </w:r>
      <w:r>
        <w:rPr>
          <w:rFonts w:ascii="Times New Roman" w:hAnsi="Times New Roman"/>
          <w:color w:val="000000"/>
          <w:sz w:val="24"/>
        </w:rPr>
        <w:t xml:space="preserve">политика </w:t>
      </w:r>
      <w:r>
        <w:rPr>
          <w:rFonts w:ascii="Times New Roman" w:hAnsi="Times New Roman"/>
          <w:color w:val="000000"/>
          <w:sz w:val="24"/>
        </w:rPr>
        <w:t xml:space="preserve"> </w:t>
      </w:r>
      <w:r>
        <w:rPr>
          <w:rFonts w:ascii="Times New Roman" w:hAnsi="Times New Roman"/>
          <w:color w:val="000000"/>
          <w:sz w:val="24"/>
        </w:rPr>
        <w:t xml:space="preserve"> утверждена </w:t>
      </w:r>
      <w:r>
        <w:rPr>
          <w:rFonts w:ascii="Times New Roman" w:hAnsi="Times New Roman"/>
          <w:color w:val="000000"/>
          <w:sz w:val="24"/>
        </w:rPr>
        <w:t>приказом</w:t>
      </w:r>
      <w:r>
        <w:rPr>
          <w:rFonts w:ascii="Times New Roman" w:hAnsi="Times New Roman"/>
          <w:color w:val="000000"/>
          <w:sz w:val="24"/>
        </w:rPr>
        <w:t xml:space="preserve"> </w:t>
      </w:r>
      <w:r>
        <w:rPr>
          <w:rFonts w:ascii="Times New Roman" w:hAnsi="Times New Roman"/>
          <w:color w:val="000000"/>
          <w:sz w:val="24"/>
        </w:rPr>
        <w:t xml:space="preserve">№ 139/1-С </w:t>
      </w:r>
      <w:r>
        <w:rPr>
          <w:rFonts w:ascii="Times New Roman" w:hAnsi="Times New Roman"/>
          <w:color w:val="000000"/>
          <w:sz w:val="24"/>
        </w:rPr>
        <w:t xml:space="preserve">от </w:t>
      </w:r>
      <w:r>
        <w:rPr>
          <w:rFonts w:ascii="Times New Roman" w:hAnsi="Times New Roman"/>
          <w:sz w:val="24"/>
        </w:rPr>
        <w:t>30.12.2020</w:t>
      </w:r>
    </w:p>
    <w:p w14:paraId="08000000">
      <w:pPr>
        <w:spacing w:after="0" w:before="0"/>
        <w:ind/>
        <w:jc w:val="both"/>
        <w:rPr>
          <w:rFonts w:ascii="Times New Roman" w:hAnsi="Times New Roman"/>
          <w:color w:val="000000"/>
          <w:sz w:val="24"/>
        </w:rPr>
      </w:pPr>
      <w:r>
        <w:rPr>
          <w:rFonts w:ascii="Times New Roman" w:hAnsi="Times New Roman"/>
          <w:color w:val="000000"/>
          <w:sz w:val="24"/>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p>
    <w:p w14:paraId="09000000">
      <w:pPr>
        <w:spacing w:after="0" w:before="0"/>
        <w:ind/>
        <w:jc w:val="both"/>
        <w:rPr>
          <w:rFonts w:ascii="Times New Roman" w:hAnsi="Times New Roman"/>
          <w:color w:val="000000"/>
          <w:sz w:val="24"/>
        </w:rPr>
      </w:pPr>
      <w:r>
        <w:rPr>
          <w:rFonts w:ascii="Times New Roman" w:hAnsi="Times New Roman"/>
          <w:color w:val="000000"/>
          <w:sz w:val="24"/>
        </w:rPr>
        <w:t>Ответственным за ведение бухгалтерского учета в учреждении является главный бухгалтер.</w:t>
      </w:r>
    </w:p>
    <w:p w14:paraId="0A000000">
      <w:pPr>
        <w:spacing w:after="0" w:before="0"/>
        <w:ind/>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Бухгалтерский учет ведется в электронном виде с применением программных продуктов</w:t>
      </w:r>
      <w:r>
        <w:rPr>
          <w:rFonts w:ascii="Times New Roman" w:hAnsi="Times New Roman"/>
          <w:color w:val="000000"/>
          <w:sz w:val="24"/>
        </w:rPr>
        <w:t xml:space="preserve"> 1С Предприятие</w:t>
      </w:r>
      <w:r>
        <w:rPr>
          <w:rFonts w:ascii="Times New Roman" w:hAnsi="Times New Roman"/>
          <w:color w:val="000000"/>
          <w:sz w:val="24"/>
        </w:rPr>
        <w:t xml:space="preserve"> «Бухгалтерия</w:t>
      </w:r>
      <w:r>
        <w:rPr>
          <w:rFonts w:ascii="Times New Roman" w:hAnsi="Times New Roman"/>
          <w:color w:val="000000"/>
          <w:sz w:val="24"/>
        </w:rPr>
        <w:t xml:space="preserve"> государственного учреждения»</w:t>
      </w:r>
      <w:r>
        <w:rPr>
          <w:rFonts w:ascii="Times New Roman" w:hAnsi="Times New Roman"/>
          <w:color w:val="000000"/>
          <w:sz w:val="24"/>
        </w:rPr>
        <w:t>, «Зарплата</w:t>
      </w:r>
      <w:r>
        <w:rPr>
          <w:rFonts w:ascii="Times New Roman" w:hAnsi="Times New Roman"/>
          <w:color w:val="000000"/>
          <w:sz w:val="24"/>
        </w:rPr>
        <w:t xml:space="preserve"> и кадры государственного учреждения</w:t>
      </w:r>
      <w:r>
        <w:rPr>
          <w:rFonts w:ascii="Times New Roman" w:hAnsi="Times New Roman"/>
          <w:color w:val="000000"/>
          <w:sz w:val="24"/>
        </w:rPr>
        <w:t>».</w:t>
      </w:r>
    </w:p>
    <w:p w14:paraId="0B000000">
      <w:pPr>
        <w:spacing w:after="0" w:before="0"/>
        <w:ind/>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0C000000">
      <w:pPr>
        <w:numPr>
          <w:ilvl w:val="0"/>
          <w:numId w:val="1"/>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система электронного документооборота с территориальным органом Федерального казначейства;</w:t>
      </w:r>
    </w:p>
    <w:p w14:paraId="0D000000">
      <w:pPr>
        <w:numPr>
          <w:ilvl w:val="0"/>
          <w:numId w:val="1"/>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передача</w:t>
      </w:r>
      <w:r>
        <w:rPr>
          <w:rFonts w:ascii="Times New Roman" w:hAnsi="Times New Roman"/>
          <w:color w:val="000000"/>
          <w:sz w:val="24"/>
        </w:rPr>
        <w:t xml:space="preserve"> </w:t>
      </w:r>
      <w:r>
        <w:rPr>
          <w:rFonts w:ascii="Times New Roman" w:hAnsi="Times New Roman"/>
          <w:color w:val="000000"/>
          <w:sz w:val="24"/>
        </w:rPr>
        <w:t>бухгалтерской</w:t>
      </w:r>
      <w:r>
        <w:rPr>
          <w:rFonts w:ascii="Times New Roman" w:hAnsi="Times New Roman"/>
          <w:color w:val="000000"/>
          <w:sz w:val="24"/>
        </w:rPr>
        <w:t xml:space="preserve"> </w:t>
      </w:r>
      <w:r>
        <w:rPr>
          <w:rFonts w:ascii="Times New Roman" w:hAnsi="Times New Roman"/>
          <w:color w:val="000000"/>
          <w:sz w:val="24"/>
        </w:rPr>
        <w:t>отчетности</w:t>
      </w:r>
      <w:r>
        <w:rPr>
          <w:rFonts w:ascii="Times New Roman" w:hAnsi="Times New Roman"/>
          <w:color w:val="000000"/>
          <w:sz w:val="24"/>
        </w:rPr>
        <w:t xml:space="preserve"> </w:t>
      </w:r>
      <w:r>
        <w:rPr>
          <w:rFonts w:ascii="Times New Roman" w:hAnsi="Times New Roman"/>
          <w:color w:val="000000"/>
          <w:sz w:val="24"/>
        </w:rPr>
        <w:t>учредителю</w:t>
      </w:r>
      <w:r>
        <w:rPr>
          <w:rFonts w:ascii="Times New Roman" w:hAnsi="Times New Roman"/>
          <w:color w:val="000000"/>
          <w:sz w:val="24"/>
        </w:rPr>
        <w:t>;</w:t>
      </w:r>
    </w:p>
    <w:p w14:paraId="0E000000">
      <w:pPr>
        <w:numPr>
          <w:ilvl w:val="0"/>
          <w:numId w:val="1"/>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передача отчетности по налогам, сборам и иным обязательным платежам в инспекцию </w:t>
      </w:r>
      <w:r>
        <w:rPr>
          <w:rFonts w:ascii="Times New Roman" w:hAnsi="Times New Roman"/>
          <w:color w:val="000000"/>
          <w:sz w:val="24"/>
        </w:rPr>
        <w:t>Федеральной</w:t>
      </w:r>
      <w:r>
        <w:rPr>
          <w:rFonts w:ascii="Times New Roman" w:hAnsi="Times New Roman"/>
          <w:color w:val="000000"/>
          <w:sz w:val="24"/>
        </w:rPr>
        <w:t xml:space="preserve"> </w:t>
      </w:r>
      <w:r>
        <w:rPr>
          <w:rFonts w:ascii="Times New Roman" w:hAnsi="Times New Roman"/>
          <w:color w:val="000000"/>
          <w:sz w:val="24"/>
        </w:rPr>
        <w:t>налоговой</w:t>
      </w:r>
      <w:r>
        <w:rPr>
          <w:rFonts w:ascii="Times New Roman" w:hAnsi="Times New Roman"/>
          <w:color w:val="000000"/>
          <w:sz w:val="24"/>
        </w:rPr>
        <w:t xml:space="preserve"> </w:t>
      </w:r>
      <w:r>
        <w:rPr>
          <w:rFonts w:ascii="Times New Roman" w:hAnsi="Times New Roman"/>
          <w:color w:val="000000"/>
          <w:sz w:val="24"/>
        </w:rPr>
        <w:t>службы</w:t>
      </w:r>
      <w:r>
        <w:rPr>
          <w:rFonts w:ascii="Times New Roman" w:hAnsi="Times New Roman"/>
          <w:color w:val="000000"/>
          <w:sz w:val="24"/>
        </w:rPr>
        <w:t>;</w:t>
      </w:r>
    </w:p>
    <w:p w14:paraId="0F000000">
      <w:pPr>
        <w:numPr>
          <w:ilvl w:val="0"/>
          <w:numId w:val="1"/>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передача отчетности в отделение Пенсионного фонда;</w:t>
      </w:r>
    </w:p>
    <w:p w14:paraId="10000000">
      <w:pPr>
        <w:numPr>
          <w:ilvl w:val="0"/>
          <w:numId w:val="1"/>
        </w:numPr>
        <w:spacing w:after="0" w:before="0"/>
        <w:ind w:firstLine="0" w:left="780" w:right="180"/>
        <w:jc w:val="both"/>
        <w:rPr>
          <w:rFonts w:ascii="Times New Roman" w:hAnsi="Times New Roman"/>
          <w:color w:val="000000"/>
          <w:sz w:val="24"/>
        </w:rPr>
      </w:pPr>
      <w:r>
        <w:rPr>
          <w:rFonts w:ascii="Times New Roman" w:hAnsi="Times New Roman"/>
          <w:color w:val="000000"/>
          <w:sz w:val="24"/>
        </w:rPr>
        <w:t xml:space="preserve">размещение информации о деятельности учреждения на официальном сайте </w:t>
      </w:r>
      <w:r>
        <w:rPr>
          <w:rFonts w:ascii="Times New Roman" w:hAnsi="Times New Roman"/>
          <w:color w:val="000000"/>
          <w:sz w:val="24"/>
        </w:rPr>
        <w:t>bus</w:t>
      </w:r>
      <w:r>
        <w:rPr>
          <w:rFonts w:ascii="Times New Roman" w:hAnsi="Times New Roman"/>
          <w:color w:val="000000"/>
          <w:sz w:val="24"/>
        </w:rPr>
        <w:t>.</w:t>
      </w:r>
      <w:r>
        <w:rPr>
          <w:rFonts w:ascii="Times New Roman" w:hAnsi="Times New Roman"/>
          <w:color w:val="000000"/>
          <w:sz w:val="24"/>
        </w:rPr>
        <w:t>gov</w:t>
      </w:r>
      <w:r>
        <w:rPr>
          <w:rFonts w:ascii="Times New Roman" w:hAnsi="Times New Roman"/>
          <w:color w:val="000000"/>
          <w:sz w:val="24"/>
        </w:rPr>
        <w:t>.</w:t>
      </w:r>
      <w:r>
        <w:rPr>
          <w:rFonts w:ascii="Times New Roman" w:hAnsi="Times New Roman"/>
          <w:color w:val="000000"/>
          <w:sz w:val="24"/>
        </w:rPr>
        <w:t>ru</w:t>
      </w:r>
      <w:r>
        <w:rPr>
          <w:rFonts w:ascii="Times New Roman" w:hAnsi="Times New Roman"/>
          <w:color w:val="000000"/>
          <w:sz w:val="24"/>
        </w:rPr>
        <w:t>.</w:t>
      </w:r>
    </w:p>
    <w:p w14:paraId="11000000">
      <w:pPr>
        <w:spacing w:after="0" w:before="0"/>
        <w:ind/>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При оформлении фактов хозяйственной жизни применяются унифицированные формы первичных учетных документов</w:t>
      </w:r>
      <w:r>
        <w:rPr>
          <w:rFonts w:ascii="Times New Roman" w:hAnsi="Times New Roman"/>
          <w:color w:val="000000"/>
          <w:sz w:val="24"/>
        </w:rPr>
        <w:t> </w:t>
      </w:r>
      <w:r>
        <w:rPr>
          <w:rFonts w:ascii="Times New Roman" w:hAnsi="Times New Roman"/>
          <w:color w:val="000000"/>
          <w:sz w:val="24"/>
        </w:rPr>
        <w:t>в соответствии с приказами Минфина</w:t>
      </w:r>
      <w:r>
        <w:rPr>
          <w:rFonts w:ascii="Times New Roman" w:hAnsi="Times New Roman"/>
          <w:color w:val="000000"/>
          <w:sz w:val="24"/>
        </w:rPr>
        <w:t> </w:t>
      </w:r>
      <w:r>
        <w:rPr>
          <w:rFonts w:ascii="Times New Roman" w:hAnsi="Times New Roman"/>
          <w:color w:val="000000"/>
          <w:sz w:val="24"/>
        </w:rPr>
        <w:t>от 30.03.2015 № 52н,</w:t>
      </w:r>
      <w:r>
        <w:rPr>
          <w:rFonts w:ascii="Times New Roman" w:hAnsi="Times New Roman"/>
          <w:color w:val="000000"/>
          <w:sz w:val="24"/>
        </w:rPr>
        <w:t> </w:t>
      </w:r>
      <w:r>
        <w:rPr>
          <w:rFonts w:ascii="Times New Roman" w:hAnsi="Times New Roman"/>
          <w:color w:val="000000"/>
          <w:sz w:val="24"/>
        </w:rPr>
        <w:t>от 15.04.2021 № 61н. При оформлении фактов хозяйственной жизни, по которым не предусмотрены типовые формы, применяются формы, установленные в приложении 5 к настоящей учетной политике.</w:t>
      </w:r>
    </w:p>
    <w:p w14:paraId="12000000">
      <w:pPr>
        <w:spacing w:after="0" w:before="0"/>
        <w:ind/>
        <w:jc w:val="both"/>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11).</w:t>
      </w:r>
    </w:p>
    <w:p w14:paraId="13000000">
      <w:pPr>
        <w:spacing w:after="0" w:before="0"/>
        <w:ind/>
        <w:jc w:val="both"/>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 Инвентаризация активов и обязательств проводится в соответствии с Порядком проведения инвентаризации, утвержденным в приложении 17</w:t>
      </w:r>
      <w:r>
        <w:rPr>
          <w:rFonts w:ascii="Times New Roman" w:hAnsi="Times New Roman"/>
          <w:color w:val="000000"/>
          <w:sz w:val="24"/>
        </w:rPr>
        <w:t> </w:t>
      </w:r>
      <w:r>
        <w:rPr>
          <w:rFonts w:ascii="Times New Roman" w:hAnsi="Times New Roman"/>
          <w:color w:val="000000"/>
          <w:sz w:val="24"/>
        </w:rPr>
        <w:t>к настоящей учетной политике, и ежегодными приказами учреждения о проведении инвентаризации объектов бухучета.</w:t>
      </w:r>
    </w:p>
    <w:p w14:paraId="14000000">
      <w:pPr>
        <w:spacing w:after="0" w:before="0"/>
        <w:ind/>
        <w:jc w:val="both"/>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14:paraId="15000000">
      <w:pPr>
        <w:spacing w:after="0" w:before="0"/>
        <w:ind/>
        <w:jc w:val="both"/>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16000000">
      <w:pPr>
        <w:spacing w:after="0" w:before="0"/>
        <w:ind/>
        <w:jc w:val="both"/>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 Учреждение учитывает в составе основных средств материальные объекты имущества</w:t>
      </w:r>
      <w:r>
        <w:rPr>
          <w:rFonts w:ascii="Times New Roman" w:hAnsi="Times New Roman"/>
          <w:color w:val="000000"/>
          <w:sz w:val="24"/>
        </w:rPr>
        <w:t> </w:t>
      </w:r>
      <w:r>
        <w:rPr>
          <w:rFonts w:ascii="Times New Roman" w:hAnsi="Times New Roman"/>
          <w:color w:val="000000"/>
          <w:sz w:val="24"/>
        </w:rPr>
        <w:t>независимо от их стоимости</w:t>
      </w:r>
      <w:r>
        <w:rPr>
          <w:rFonts w:ascii="Times New Roman" w:hAnsi="Times New Roman"/>
          <w:color w:val="000000"/>
          <w:sz w:val="24"/>
        </w:rPr>
        <w:t> </w:t>
      </w:r>
      <w:r>
        <w:rPr>
          <w:rFonts w:ascii="Times New Roman" w:hAnsi="Times New Roman"/>
          <w:color w:val="000000"/>
          <w:sz w:val="24"/>
        </w:rPr>
        <w:t>со сроком полезного использования более 12 месяцев, а также штампы,</w:t>
      </w:r>
      <w:r>
        <w:rPr>
          <w:rFonts w:ascii="Times New Roman" w:hAnsi="Times New Roman"/>
          <w:color w:val="000000"/>
          <w:sz w:val="24"/>
        </w:rPr>
        <w:t> </w:t>
      </w:r>
      <w:r>
        <w:rPr>
          <w:rFonts w:ascii="Times New Roman" w:hAnsi="Times New Roman"/>
          <w:color w:val="000000"/>
          <w:sz w:val="24"/>
        </w:rPr>
        <w:t>печати и инвентарь. Перечень объектов, которые относятся к группе «Инвентарь производственный и хозяйственный», приведен в приложении 12.</w:t>
      </w:r>
    </w:p>
    <w:p w14:paraId="17000000">
      <w:pPr>
        <w:spacing w:after="0" w:before="0"/>
        <w:ind/>
        <w:jc w:val="both"/>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18000000">
      <w:pPr>
        <w:numPr>
          <w:ilvl w:val="0"/>
          <w:numId w:val="2"/>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мебель для обстановки одного помещения: столы, стулья, стеллажи, шкафы, полки;</w:t>
      </w:r>
    </w:p>
    <w:p w14:paraId="19000000">
      <w:pPr>
        <w:numPr>
          <w:ilvl w:val="0"/>
          <w:numId w:val="2"/>
        </w:numPr>
        <w:spacing w:after="0" w:before="0"/>
        <w:ind w:firstLine="0" w:left="780" w:right="180"/>
        <w:jc w:val="both"/>
        <w:rPr>
          <w:rFonts w:ascii="Times New Roman" w:hAnsi="Times New Roman"/>
          <w:color w:val="000000"/>
          <w:sz w:val="24"/>
        </w:rPr>
      </w:pPr>
      <w:r>
        <w:rPr>
          <w:rFonts w:ascii="Times New Roman" w:hAnsi="Times New Roman"/>
          <w:color w:val="000000"/>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1A000000">
      <w:pPr>
        <w:spacing w:after="0" w:before="0"/>
        <w:ind/>
        <w:jc w:val="both"/>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 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1B000000">
      <w:pPr>
        <w:spacing w:after="0" w:before="0"/>
        <w:ind/>
        <w:jc w:val="both"/>
        <w:rPr>
          <w:rFonts w:ascii="Times New Roman" w:hAnsi="Times New Roman"/>
          <w:color w:val="000000"/>
          <w:sz w:val="24"/>
        </w:rPr>
      </w:pPr>
      <w:r>
        <w:rPr>
          <w:rFonts w:ascii="Times New Roman" w:hAnsi="Times New Roman"/>
          <w:color w:val="000000"/>
          <w:sz w:val="24"/>
        </w:rPr>
        <w:t>12</w:t>
      </w:r>
      <w:r>
        <w:rPr>
          <w:rFonts w:ascii="Times New Roman" w:hAnsi="Times New Roman"/>
          <w:color w:val="000000"/>
          <w:sz w:val="24"/>
        </w:rPr>
        <w:t>.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Pr>
          <w:rFonts w:ascii="Times New Roman" w:hAnsi="Times New Roman"/>
          <w:color w:val="000000"/>
          <w:sz w:val="24"/>
        </w:rPr>
        <w:t>выбываемых</w:t>
      </w:r>
      <w:r>
        <w:rPr>
          <w:rFonts w:ascii="Times New Roman" w:hAnsi="Times New Roman"/>
          <w:color w:val="000000"/>
          <w:sz w:val="24"/>
        </w:rPr>
        <w:t xml:space="preserve">) составных частей. </w:t>
      </w:r>
      <w:r>
        <w:rPr>
          <w:rFonts w:ascii="Times New Roman" w:hAnsi="Times New Roman"/>
          <w:color w:val="000000"/>
          <w:sz w:val="24"/>
        </w:rPr>
        <w:t>Данное</w:t>
      </w:r>
      <w:r>
        <w:rPr>
          <w:rFonts w:ascii="Times New Roman" w:hAnsi="Times New Roman"/>
          <w:color w:val="000000"/>
          <w:sz w:val="24"/>
        </w:rPr>
        <w:t xml:space="preserve"> </w:t>
      </w:r>
      <w:r>
        <w:rPr>
          <w:rFonts w:ascii="Times New Roman" w:hAnsi="Times New Roman"/>
          <w:color w:val="000000"/>
          <w:sz w:val="24"/>
        </w:rPr>
        <w:t>правило</w:t>
      </w:r>
      <w:r>
        <w:rPr>
          <w:rFonts w:ascii="Times New Roman" w:hAnsi="Times New Roman"/>
          <w:color w:val="000000"/>
          <w:sz w:val="24"/>
        </w:rPr>
        <w:t xml:space="preserve"> </w:t>
      </w:r>
      <w:r>
        <w:rPr>
          <w:rFonts w:ascii="Times New Roman" w:hAnsi="Times New Roman"/>
          <w:color w:val="000000"/>
          <w:sz w:val="24"/>
        </w:rPr>
        <w:t>применяется</w:t>
      </w:r>
      <w:r>
        <w:rPr>
          <w:rFonts w:ascii="Times New Roman" w:hAnsi="Times New Roman"/>
          <w:color w:val="000000"/>
          <w:sz w:val="24"/>
        </w:rPr>
        <w:t xml:space="preserve"> к следующим группам основных средств:</w:t>
      </w:r>
    </w:p>
    <w:p w14:paraId="1C000000">
      <w:pPr>
        <w:numPr>
          <w:ilvl w:val="0"/>
          <w:numId w:val="3"/>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машины и оборудование;</w:t>
      </w:r>
    </w:p>
    <w:p w14:paraId="1D000000">
      <w:pPr>
        <w:numPr>
          <w:ilvl w:val="0"/>
          <w:numId w:val="3"/>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транспортные средства;</w:t>
      </w:r>
    </w:p>
    <w:p w14:paraId="1E000000">
      <w:pPr>
        <w:numPr>
          <w:ilvl w:val="0"/>
          <w:numId w:val="3"/>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инвентарь производственный и хозяйственный;</w:t>
      </w:r>
    </w:p>
    <w:p w14:paraId="1F000000">
      <w:pPr>
        <w:spacing w:after="0" w:before="0"/>
        <w:ind w:firstLine="0" w:left="420" w:right="180"/>
        <w:jc w:val="both"/>
        <w:rPr>
          <w:rFonts w:ascii="Times New Roman" w:hAnsi="Times New Roman"/>
          <w:color w:val="000000"/>
          <w:sz w:val="24"/>
        </w:rPr>
      </w:pPr>
    </w:p>
    <w:p w14:paraId="20000000">
      <w:pPr>
        <w:spacing w:after="0" w:before="0"/>
        <w:ind/>
        <w:jc w:val="both"/>
        <w:rPr>
          <w:rFonts w:ascii="Times New Roman" w:hAnsi="Times New Roman"/>
          <w:color w:val="000000"/>
          <w:sz w:val="24"/>
        </w:rPr>
      </w:pPr>
      <w:r>
        <w:rPr>
          <w:rFonts w:ascii="Times New Roman" w:hAnsi="Times New Roman"/>
          <w:color w:val="000000"/>
          <w:sz w:val="24"/>
        </w:rPr>
        <w:t>13</w:t>
      </w:r>
      <w:r>
        <w:rPr>
          <w:rFonts w:ascii="Times New Roman" w:hAnsi="Times New Roman"/>
          <w:color w:val="000000"/>
          <w:sz w:val="24"/>
        </w:rPr>
        <w:t xml:space="preserve">. В случае частичной ликвидации или </w:t>
      </w:r>
      <w:r>
        <w:rPr>
          <w:rFonts w:ascii="Times New Roman" w:hAnsi="Times New Roman"/>
          <w:color w:val="000000"/>
          <w:sz w:val="24"/>
        </w:rPr>
        <w:t>разукомплектации</w:t>
      </w:r>
      <w:r>
        <w:rPr>
          <w:rFonts w:ascii="Times New Roman" w:hAnsi="Times New Roman"/>
          <w:color w:val="000000"/>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ascii="Times New Roman" w:hAnsi="Times New Roman"/>
          <w:color w:val="000000"/>
          <w:sz w:val="24"/>
        </w:rPr>
        <w:t>(в порядке убывания важности):</w:t>
      </w:r>
    </w:p>
    <w:p w14:paraId="21000000">
      <w:pPr>
        <w:numPr>
          <w:ilvl w:val="0"/>
          <w:numId w:val="4"/>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площади</w:t>
      </w:r>
      <w:r>
        <w:rPr>
          <w:rFonts w:ascii="Times New Roman" w:hAnsi="Times New Roman"/>
          <w:color w:val="000000"/>
          <w:sz w:val="24"/>
        </w:rPr>
        <w:t>;</w:t>
      </w:r>
    </w:p>
    <w:p w14:paraId="22000000">
      <w:pPr>
        <w:numPr>
          <w:ilvl w:val="0"/>
          <w:numId w:val="4"/>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объему;</w:t>
      </w:r>
    </w:p>
    <w:p w14:paraId="23000000">
      <w:pPr>
        <w:numPr>
          <w:ilvl w:val="0"/>
          <w:numId w:val="4"/>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весу;</w:t>
      </w:r>
    </w:p>
    <w:p w14:paraId="24000000">
      <w:pPr>
        <w:numPr>
          <w:ilvl w:val="0"/>
          <w:numId w:val="4"/>
        </w:numPr>
        <w:spacing w:after="0" w:before="0"/>
        <w:ind w:firstLine="0" w:left="780" w:right="180"/>
        <w:jc w:val="both"/>
        <w:rPr>
          <w:rFonts w:ascii="Times New Roman" w:hAnsi="Times New Roman"/>
          <w:color w:val="000000"/>
          <w:sz w:val="24"/>
        </w:rPr>
      </w:pPr>
      <w:r>
        <w:rPr>
          <w:rFonts w:ascii="Times New Roman" w:hAnsi="Times New Roman"/>
          <w:color w:val="000000"/>
          <w:sz w:val="24"/>
        </w:rPr>
        <w:t>иному показателю, установленному комиссией по поступлению и выбытию активов.</w:t>
      </w:r>
    </w:p>
    <w:p w14:paraId="25000000">
      <w:pPr>
        <w:spacing w:after="0" w:before="0"/>
        <w:ind/>
        <w:jc w:val="both"/>
        <w:rPr>
          <w:rFonts w:ascii="Times New Roman" w:hAnsi="Times New Roman"/>
          <w:color w:val="000000"/>
          <w:sz w:val="24"/>
        </w:rPr>
      </w:pPr>
      <w:r>
        <w:rPr>
          <w:rFonts w:ascii="Times New Roman" w:hAnsi="Times New Roman"/>
          <w:color w:val="000000"/>
          <w:sz w:val="24"/>
        </w:rPr>
        <w:t>14</w:t>
      </w:r>
      <w:r>
        <w:rPr>
          <w:rFonts w:ascii="Times New Roman" w:hAnsi="Times New Roman"/>
          <w:color w:val="000000"/>
          <w:sz w:val="24"/>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r>
        <w:rPr>
          <w:rFonts w:ascii="Times New Roman" w:hAnsi="Times New Roman"/>
          <w:color w:val="000000"/>
          <w:sz w:val="24"/>
        </w:rPr>
        <w:t>дооборудований</w:t>
      </w:r>
      <w:r>
        <w:rPr>
          <w:rFonts w:ascii="Times New Roman" w:hAnsi="Times New Roman"/>
          <w:color w:val="000000"/>
          <w:sz w:val="24"/>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ascii="Times New Roman" w:hAnsi="Times New Roman"/>
          <w:color w:val="000000"/>
          <w:sz w:val="24"/>
        </w:rPr>
        <w:t>Данное</w:t>
      </w:r>
      <w:r>
        <w:rPr>
          <w:rFonts w:ascii="Times New Roman" w:hAnsi="Times New Roman"/>
          <w:color w:val="000000"/>
          <w:sz w:val="24"/>
        </w:rPr>
        <w:t xml:space="preserve"> </w:t>
      </w:r>
      <w:r>
        <w:rPr>
          <w:rFonts w:ascii="Times New Roman" w:hAnsi="Times New Roman"/>
          <w:color w:val="000000"/>
          <w:sz w:val="24"/>
        </w:rPr>
        <w:t>правило</w:t>
      </w:r>
      <w:r>
        <w:rPr>
          <w:rFonts w:ascii="Times New Roman" w:hAnsi="Times New Roman"/>
          <w:color w:val="000000"/>
          <w:sz w:val="24"/>
        </w:rPr>
        <w:t xml:space="preserve"> </w:t>
      </w:r>
      <w:r>
        <w:rPr>
          <w:rFonts w:ascii="Times New Roman" w:hAnsi="Times New Roman"/>
          <w:color w:val="000000"/>
          <w:sz w:val="24"/>
        </w:rPr>
        <w:t>применяется</w:t>
      </w:r>
      <w:r>
        <w:rPr>
          <w:rFonts w:ascii="Times New Roman" w:hAnsi="Times New Roman"/>
          <w:color w:val="000000"/>
          <w:sz w:val="24"/>
        </w:rPr>
        <w:t xml:space="preserve"> к следующим группам основных средств:</w:t>
      </w:r>
    </w:p>
    <w:p w14:paraId="26000000">
      <w:pPr>
        <w:numPr>
          <w:ilvl w:val="0"/>
          <w:numId w:val="5"/>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машины и оборудование;</w:t>
      </w:r>
    </w:p>
    <w:p w14:paraId="27000000">
      <w:pPr>
        <w:numPr>
          <w:ilvl w:val="0"/>
          <w:numId w:val="5"/>
        </w:numPr>
        <w:spacing w:after="0" w:before="0"/>
        <w:ind w:firstLine="0" w:left="780" w:right="180"/>
        <w:jc w:val="both"/>
        <w:rPr>
          <w:rFonts w:ascii="Times New Roman" w:hAnsi="Times New Roman"/>
          <w:color w:val="000000"/>
          <w:sz w:val="24"/>
        </w:rPr>
      </w:pPr>
      <w:r>
        <w:rPr>
          <w:rFonts w:ascii="Times New Roman" w:hAnsi="Times New Roman"/>
          <w:color w:val="000000"/>
          <w:sz w:val="24"/>
        </w:rPr>
        <w:t>транспортные средства.</w:t>
      </w:r>
    </w:p>
    <w:p w14:paraId="28000000">
      <w:pPr>
        <w:spacing w:after="0" w:before="0"/>
        <w:ind/>
        <w:jc w:val="both"/>
        <w:rPr>
          <w:rFonts w:ascii="Times New Roman" w:hAnsi="Times New Roman"/>
          <w:color w:val="000000"/>
          <w:sz w:val="24"/>
        </w:rPr>
      </w:pPr>
      <w:r>
        <w:rPr>
          <w:rFonts w:ascii="Times New Roman" w:hAnsi="Times New Roman"/>
          <w:color w:val="000000"/>
          <w:sz w:val="24"/>
        </w:rPr>
        <w:t>15</w:t>
      </w:r>
      <w:r>
        <w:rPr>
          <w:rFonts w:ascii="Times New Roman" w:hAnsi="Times New Roman"/>
          <w:color w:val="000000"/>
          <w:sz w:val="24"/>
        </w:rPr>
        <w:t>. Начисление амортизации основных средств осуществляется следующим образом:</w:t>
      </w:r>
    </w:p>
    <w:p w14:paraId="29000000">
      <w:pPr>
        <w:numPr>
          <w:ilvl w:val="0"/>
          <w:numId w:val="6"/>
        </w:numPr>
        <w:spacing w:after="0" w:before="0"/>
        <w:ind w:firstLine="0" w:left="780" w:right="180"/>
        <w:jc w:val="both"/>
        <w:rPr>
          <w:rFonts w:ascii="Times New Roman" w:hAnsi="Times New Roman"/>
          <w:color w:val="000000"/>
          <w:sz w:val="24"/>
        </w:rPr>
      </w:pPr>
      <w:r>
        <w:rPr>
          <w:rFonts w:ascii="Times New Roman" w:hAnsi="Times New Roman"/>
          <w:color w:val="000000"/>
          <w:sz w:val="24"/>
        </w:rPr>
        <w:t xml:space="preserve">линейным методом – на </w:t>
      </w:r>
      <w:r>
        <w:rPr>
          <w:rFonts w:ascii="Times New Roman" w:hAnsi="Times New Roman"/>
          <w:color w:val="000000"/>
          <w:sz w:val="24"/>
        </w:rPr>
        <w:t>все</w:t>
      </w:r>
      <w:r>
        <w:rPr>
          <w:rFonts w:ascii="Times New Roman" w:hAnsi="Times New Roman"/>
          <w:color w:val="000000"/>
          <w:sz w:val="24"/>
        </w:rPr>
        <w:t xml:space="preserve"> объекты основных средств.</w:t>
      </w:r>
    </w:p>
    <w:p w14:paraId="2A000000">
      <w:pPr>
        <w:spacing w:after="0" w:before="0"/>
        <w:ind/>
        <w:jc w:val="both"/>
        <w:rPr>
          <w:rFonts w:ascii="Times New Roman" w:hAnsi="Times New Roman"/>
          <w:color w:val="000000"/>
          <w:sz w:val="24"/>
        </w:rPr>
      </w:pPr>
      <w:r>
        <w:rPr>
          <w:rFonts w:ascii="Times New Roman" w:hAnsi="Times New Roman"/>
          <w:color w:val="000000"/>
          <w:sz w:val="24"/>
        </w:rPr>
        <w:t>16</w:t>
      </w:r>
      <w:r>
        <w:rPr>
          <w:rFonts w:ascii="Times New Roman" w:hAnsi="Times New Roman"/>
          <w:color w:val="000000"/>
          <w:sz w:val="24"/>
        </w:rPr>
        <w:t>. В случаях</w:t>
      </w:r>
      <w:r>
        <w:rPr>
          <w:rFonts w:ascii="Times New Roman" w:hAnsi="Times New Roman"/>
          <w:color w:val="000000"/>
          <w:sz w:val="24"/>
        </w:rPr>
        <w:t>,</w:t>
      </w:r>
      <w:r>
        <w:rPr>
          <w:rFonts w:ascii="Times New Roman" w:hAnsi="Times New Roman"/>
          <w:color w:val="000000"/>
          <w:sz w:val="24"/>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2B000000">
      <w:pPr>
        <w:spacing w:after="0" w:before="0"/>
        <w:ind/>
        <w:jc w:val="both"/>
        <w:rPr>
          <w:rFonts w:ascii="Times New Roman" w:hAnsi="Times New Roman"/>
          <w:color w:val="000000"/>
          <w:sz w:val="24"/>
        </w:rPr>
      </w:pPr>
      <w:r>
        <w:rPr>
          <w:rFonts w:ascii="Times New Roman" w:hAnsi="Times New Roman"/>
          <w:color w:val="000000"/>
          <w:sz w:val="24"/>
        </w:rPr>
        <w:t>17</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2C000000">
      <w:pPr>
        <w:spacing w:after="0" w:before="0"/>
        <w:ind/>
        <w:jc w:val="both"/>
        <w:rPr>
          <w:rFonts w:ascii="Times New Roman" w:hAnsi="Times New Roman"/>
          <w:color w:val="000000"/>
          <w:sz w:val="24"/>
        </w:rPr>
      </w:pPr>
      <w:r>
        <w:rPr>
          <w:rFonts w:ascii="Times New Roman" w:hAnsi="Times New Roman"/>
          <w:color w:val="000000"/>
          <w:sz w:val="24"/>
        </w:rPr>
        <w:t>18</w:t>
      </w:r>
      <w:r>
        <w:rPr>
          <w:rFonts w:ascii="Times New Roman" w:hAnsi="Times New Roman"/>
          <w:color w:val="000000"/>
          <w:sz w:val="24"/>
        </w:rPr>
        <w:t xml:space="preserve">. Основные средства стоимостью до 10 000 руб. включительно, находящиеся в эксплуатации, учитываются на </w:t>
      </w:r>
      <w:r>
        <w:rPr>
          <w:rFonts w:ascii="Times New Roman" w:hAnsi="Times New Roman"/>
          <w:color w:val="000000"/>
          <w:sz w:val="24"/>
        </w:rPr>
        <w:t>забалансовом</w:t>
      </w:r>
      <w:r>
        <w:rPr>
          <w:rFonts w:ascii="Times New Roman" w:hAnsi="Times New Roman"/>
          <w:color w:val="000000"/>
          <w:sz w:val="24"/>
        </w:rPr>
        <w:t xml:space="preserve"> счете 21 по балансовой стоимости.</w:t>
      </w:r>
    </w:p>
    <w:p w14:paraId="2D000000">
      <w:pPr>
        <w:spacing w:after="0" w:before="0"/>
        <w:ind/>
        <w:jc w:val="both"/>
        <w:rPr>
          <w:rFonts w:ascii="Times New Roman" w:hAnsi="Times New Roman"/>
          <w:color w:val="000000"/>
          <w:sz w:val="24"/>
        </w:rPr>
      </w:pPr>
      <w:r>
        <w:rPr>
          <w:rFonts w:ascii="Times New Roman" w:hAnsi="Times New Roman"/>
          <w:color w:val="000000"/>
          <w:sz w:val="24"/>
        </w:rPr>
        <w:t>29</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2E000000">
      <w:pPr>
        <w:spacing w:after="0" w:before="0"/>
        <w:ind/>
        <w:jc w:val="both"/>
        <w:rPr>
          <w:rFonts w:ascii="Times New Roman" w:hAnsi="Times New Roman"/>
          <w:color w:val="000000"/>
          <w:sz w:val="24"/>
        </w:rPr>
      </w:pPr>
      <w:r>
        <w:rPr>
          <w:rFonts w:ascii="Times New Roman" w:hAnsi="Times New Roman"/>
          <w:color w:val="000000"/>
          <w:sz w:val="24"/>
        </w:rPr>
        <w:t>20</w:t>
      </w:r>
      <w:r>
        <w:rPr>
          <w:rFonts w:ascii="Times New Roman" w:hAnsi="Times New Roman"/>
          <w:color w:val="000000"/>
          <w:sz w:val="24"/>
        </w:rPr>
        <w:t>. Начисление амортизации нематериальных активов осуществляется следующим образом:</w:t>
      </w:r>
    </w:p>
    <w:p w14:paraId="2F000000">
      <w:pPr>
        <w:numPr>
          <w:ilvl w:val="0"/>
          <w:numId w:val="7"/>
        </w:numPr>
        <w:spacing w:after="0" w:before="0"/>
        <w:ind w:firstLine="0" w:left="780" w:right="180"/>
        <w:jc w:val="both"/>
        <w:rPr>
          <w:rFonts w:ascii="Times New Roman" w:hAnsi="Times New Roman"/>
          <w:color w:val="000000"/>
          <w:sz w:val="24"/>
        </w:rPr>
      </w:pPr>
      <w:r>
        <w:rPr>
          <w:rFonts w:ascii="Times New Roman" w:hAnsi="Times New Roman"/>
          <w:color w:val="000000"/>
          <w:sz w:val="24"/>
        </w:rPr>
        <w:t xml:space="preserve">линейным методом – на </w:t>
      </w:r>
      <w:r>
        <w:rPr>
          <w:rFonts w:ascii="Times New Roman" w:hAnsi="Times New Roman"/>
          <w:color w:val="000000"/>
          <w:sz w:val="24"/>
        </w:rPr>
        <w:t>все</w:t>
      </w:r>
      <w:r>
        <w:rPr>
          <w:rFonts w:ascii="Times New Roman" w:hAnsi="Times New Roman"/>
          <w:color w:val="000000"/>
          <w:sz w:val="24"/>
        </w:rPr>
        <w:t xml:space="preserve"> объекты нематериальных активов.</w:t>
      </w:r>
    </w:p>
    <w:p w14:paraId="30000000">
      <w:pPr>
        <w:spacing w:after="0" w:before="0"/>
        <w:ind/>
        <w:jc w:val="both"/>
        <w:rPr>
          <w:rFonts w:ascii="Times New Roman" w:hAnsi="Times New Roman"/>
          <w:color w:val="000000"/>
          <w:sz w:val="24"/>
        </w:rPr>
      </w:pPr>
      <w:r>
        <w:rPr>
          <w:rFonts w:ascii="Times New Roman" w:hAnsi="Times New Roman"/>
          <w:color w:val="000000"/>
          <w:sz w:val="24"/>
        </w:rPr>
        <w:t>21</w:t>
      </w:r>
      <w:r>
        <w:rPr>
          <w:rFonts w:ascii="Times New Roman" w:hAnsi="Times New Roman"/>
          <w:color w:val="000000"/>
          <w:sz w:val="24"/>
        </w:rPr>
        <w:t>.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12.</w:t>
      </w:r>
    </w:p>
    <w:p w14:paraId="31000000">
      <w:pPr>
        <w:spacing w:after="0" w:before="0"/>
        <w:ind/>
        <w:jc w:val="both"/>
        <w:rPr>
          <w:rFonts w:ascii="Times New Roman" w:hAnsi="Times New Roman"/>
          <w:color w:val="000000"/>
          <w:sz w:val="24"/>
        </w:rPr>
      </w:pPr>
      <w:r>
        <w:rPr>
          <w:rFonts w:ascii="Times New Roman" w:hAnsi="Times New Roman"/>
          <w:color w:val="000000"/>
          <w:sz w:val="24"/>
        </w:rPr>
        <w:t>22</w:t>
      </w:r>
      <w:r>
        <w:rPr>
          <w:rFonts w:ascii="Times New Roman" w:hAnsi="Times New Roman"/>
          <w:color w:val="000000"/>
          <w:sz w:val="24"/>
        </w:rPr>
        <w:t xml:space="preserve">. Единица учета материальных запасов в учреждении – номенклатурная (реестровая) единица. </w:t>
      </w:r>
      <w:r>
        <w:rPr>
          <w:rFonts w:ascii="Times New Roman" w:hAnsi="Times New Roman"/>
          <w:color w:val="000000"/>
          <w:sz w:val="24"/>
        </w:rPr>
        <w:t>Исключения:</w:t>
      </w:r>
    </w:p>
    <w:p w14:paraId="32000000">
      <w:pPr>
        <w:numPr>
          <w:ilvl w:val="0"/>
          <w:numId w:val="8"/>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группы материальных запасов, характеристики которых совпадают, </w:t>
      </w:r>
      <w:r>
        <w:rPr>
          <w:rFonts w:ascii="Times New Roman" w:hAnsi="Times New Roman"/>
          <w:color w:val="000000"/>
          <w:sz w:val="24"/>
        </w:rPr>
        <w:t>например</w:t>
      </w:r>
      <w:r>
        <w:rPr>
          <w:rFonts w:ascii="Times New Roman" w:hAnsi="Times New Roman"/>
          <w:color w:val="000000"/>
          <w:sz w:val="24"/>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33000000">
      <w:pPr>
        <w:numPr>
          <w:ilvl w:val="0"/>
          <w:numId w:val="8"/>
        </w:numPr>
        <w:spacing w:after="0" w:before="0"/>
        <w:ind w:firstLine="0" w:left="780" w:right="180"/>
        <w:jc w:val="both"/>
        <w:rPr>
          <w:rFonts w:ascii="Times New Roman" w:hAnsi="Times New Roman"/>
          <w:color w:val="000000"/>
          <w:sz w:val="24"/>
        </w:rPr>
      </w:pPr>
      <w:r>
        <w:rPr>
          <w:rFonts w:ascii="Times New Roman" w:hAnsi="Times New Roman"/>
          <w:color w:val="000000"/>
          <w:sz w:val="24"/>
        </w:rPr>
        <w:t xml:space="preserve">материальные запасы с ограниченным сроком годности – продукты питания, медикаменты и др., а также товары для продажи. </w:t>
      </w:r>
      <w:r>
        <w:rPr>
          <w:rFonts w:ascii="Times New Roman" w:hAnsi="Times New Roman"/>
          <w:color w:val="000000"/>
          <w:sz w:val="24"/>
        </w:rPr>
        <w:t>Единица</w:t>
      </w:r>
      <w:r>
        <w:rPr>
          <w:rFonts w:ascii="Times New Roman" w:hAnsi="Times New Roman"/>
          <w:color w:val="000000"/>
          <w:sz w:val="24"/>
        </w:rPr>
        <w:t xml:space="preserve"> </w:t>
      </w:r>
      <w:r>
        <w:rPr>
          <w:rFonts w:ascii="Times New Roman" w:hAnsi="Times New Roman"/>
          <w:color w:val="000000"/>
          <w:sz w:val="24"/>
        </w:rPr>
        <w:t>учета</w:t>
      </w:r>
      <w:r>
        <w:rPr>
          <w:rFonts w:ascii="Times New Roman" w:hAnsi="Times New Roman"/>
          <w:color w:val="000000"/>
          <w:sz w:val="24"/>
        </w:rPr>
        <w:t xml:space="preserve"> </w:t>
      </w:r>
      <w:r>
        <w:rPr>
          <w:rFonts w:ascii="Times New Roman" w:hAnsi="Times New Roman"/>
          <w:color w:val="000000"/>
          <w:sz w:val="24"/>
        </w:rPr>
        <w:t>таких</w:t>
      </w:r>
      <w:r>
        <w:rPr>
          <w:rFonts w:ascii="Times New Roman" w:hAnsi="Times New Roman"/>
          <w:color w:val="000000"/>
          <w:sz w:val="24"/>
        </w:rPr>
        <w:t xml:space="preserve"> </w:t>
      </w:r>
      <w:r>
        <w:rPr>
          <w:rFonts w:ascii="Times New Roman" w:hAnsi="Times New Roman"/>
          <w:color w:val="000000"/>
          <w:sz w:val="24"/>
        </w:rPr>
        <w:t>материальных</w:t>
      </w:r>
      <w:r>
        <w:rPr>
          <w:rFonts w:ascii="Times New Roman" w:hAnsi="Times New Roman"/>
          <w:color w:val="000000"/>
          <w:sz w:val="24"/>
        </w:rPr>
        <w:t xml:space="preserve"> запасов – партия.</w:t>
      </w:r>
    </w:p>
    <w:p w14:paraId="34000000">
      <w:pPr>
        <w:spacing w:after="0" w:before="0"/>
        <w:ind/>
        <w:jc w:val="both"/>
        <w:rPr>
          <w:rFonts w:ascii="Times New Roman" w:hAnsi="Times New Roman"/>
          <w:color w:val="000000"/>
          <w:sz w:val="24"/>
        </w:rPr>
      </w:pPr>
      <w:r>
        <w:rPr>
          <w:rFonts w:ascii="Times New Roman" w:hAnsi="Times New Roman"/>
          <w:color w:val="000000"/>
          <w:sz w:val="24"/>
        </w:rPr>
        <w:t>23</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Списание материальных запасов производится по фактической стоимости.</w:t>
      </w:r>
    </w:p>
    <w:p w14:paraId="35000000">
      <w:pPr>
        <w:spacing w:after="0" w:before="0"/>
        <w:ind/>
        <w:jc w:val="both"/>
        <w:rPr>
          <w:rFonts w:ascii="Times New Roman" w:hAnsi="Times New Roman"/>
          <w:sz w:val="24"/>
        </w:rPr>
      </w:pPr>
      <w:r>
        <w:rPr>
          <w:rFonts w:ascii="Times New Roman" w:hAnsi="Times New Roman"/>
          <w:color w:val="000000"/>
          <w:sz w:val="24"/>
        </w:rPr>
        <w:t>24</w:t>
      </w:r>
      <w:r>
        <w:rPr>
          <w:rFonts w:ascii="Times New Roman" w:hAnsi="Times New Roman"/>
          <w:color w:val="FF0000"/>
          <w:sz w:val="24"/>
        </w:rPr>
        <w:t xml:space="preserve">. </w:t>
      </w:r>
      <w:r>
        <w:rPr>
          <w:rFonts w:ascii="Times New Roman" w:hAnsi="Times New Roman"/>
          <w:sz w:val="24"/>
        </w:rPr>
        <w:t>Товары, переданные в реализацию, отражаются по цене реализации с обособлением торговой наценки.</w:t>
      </w:r>
    </w:p>
    <w:p w14:paraId="36000000">
      <w:pPr>
        <w:spacing w:after="0" w:before="0"/>
        <w:ind/>
        <w:jc w:val="both"/>
        <w:rPr>
          <w:rFonts w:ascii="Times New Roman" w:hAnsi="Times New Roman"/>
          <w:color w:val="000000"/>
          <w:sz w:val="24"/>
        </w:rPr>
      </w:pPr>
      <w:r>
        <w:rPr>
          <w:rFonts w:ascii="Times New Roman" w:hAnsi="Times New Roman"/>
          <w:color w:val="000000"/>
          <w:sz w:val="24"/>
        </w:rPr>
        <w:t>25</w:t>
      </w:r>
      <w:r>
        <w:rPr>
          <w:rFonts w:ascii="Times New Roman" w:hAnsi="Times New Roman"/>
          <w:color w:val="000000"/>
          <w:sz w:val="24"/>
        </w:rPr>
        <w:t xml:space="preserve">. Денежные средства выдаются под отчет на основании приказа руководителя или служебной записки, согласованной с руководителем. </w:t>
      </w:r>
      <w:r>
        <w:rPr>
          <w:rFonts w:ascii="Times New Roman" w:hAnsi="Times New Roman"/>
          <w:color w:val="000000"/>
          <w:sz w:val="24"/>
        </w:rPr>
        <w:t>Выдача денежных средств под отчет производится путем:</w:t>
      </w:r>
    </w:p>
    <w:p w14:paraId="37000000">
      <w:pPr>
        <w:numPr>
          <w:ilvl w:val="0"/>
          <w:numId w:val="9"/>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выдачи из кассы. При этом выплаты подотчетных сумм сотрудникам производятся в течение трех рабочих дней, включая день получения денег в банке;</w:t>
      </w:r>
    </w:p>
    <w:p w14:paraId="38000000">
      <w:pPr>
        <w:numPr>
          <w:ilvl w:val="0"/>
          <w:numId w:val="9"/>
        </w:numPr>
        <w:spacing w:after="0" w:before="0"/>
        <w:ind w:firstLine="0" w:left="780" w:right="180"/>
        <w:jc w:val="both"/>
        <w:rPr>
          <w:rFonts w:ascii="Times New Roman" w:hAnsi="Times New Roman"/>
          <w:color w:val="000000"/>
          <w:sz w:val="24"/>
        </w:rPr>
      </w:pPr>
      <w:r>
        <w:rPr>
          <w:rFonts w:ascii="Times New Roman" w:hAnsi="Times New Roman"/>
          <w:color w:val="000000"/>
          <w:sz w:val="24"/>
        </w:rPr>
        <w:t xml:space="preserve">перечисления на </w:t>
      </w:r>
      <w:r>
        <w:rPr>
          <w:rFonts w:ascii="Times New Roman" w:hAnsi="Times New Roman"/>
          <w:color w:val="000000"/>
          <w:sz w:val="24"/>
        </w:rPr>
        <w:t>банковскую</w:t>
      </w:r>
      <w:r>
        <w:rPr>
          <w:rFonts w:ascii="Times New Roman" w:hAnsi="Times New Roman"/>
          <w:color w:val="000000"/>
          <w:sz w:val="24"/>
        </w:rPr>
        <w:t xml:space="preserve"> карту материально ответственного лица.</w:t>
      </w:r>
    </w:p>
    <w:p w14:paraId="39000000">
      <w:pPr>
        <w:spacing w:after="0" w:before="0"/>
        <w:ind/>
        <w:jc w:val="both"/>
        <w:rPr>
          <w:rFonts w:ascii="Times New Roman" w:hAnsi="Times New Roman"/>
          <w:color w:val="000000"/>
          <w:sz w:val="24"/>
        </w:rPr>
      </w:pPr>
      <w:r>
        <w:rPr>
          <w:rFonts w:ascii="Times New Roman" w:hAnsi="Times New Roman"/>
          <w:color w:val="000000"/>
          <w:sz w:val="24"/>
        </w:rPr>
        <w:t>Способ выдачи денежных средств указывается в служебной записке или приказе руководителя.</w:t>
      </w:r>
    </w:p>
    <w:p w14:paraId="3A000000">
      <w:pPr>
        <w:spacing w:after="0" w:before="0"/>
        <w:ind/>
        <w:jc w:val="both"/>
        <w:rPr>
          <w:rFonts w:ascii="Times New Roman" w:hAnsi="Times New Roman"/>
          <w:color w:val="000000"/>
          <w:sz w:val="24"/>
        </w:rPr>
      </w:pPr>
      <w:r>
        <w:rPr>
          <w:rFonts w:ascii="Times New Roman" w:hAnsi="Times New Roman"/>
          <w:color w:val="000000"/>
          <w:sz w:val="24"/>
        </w:rPr>
        <w:t>26</w:t>
      </w:r>
      <w:r>
        <w:rPr>
          <w:rFonts w:ascii="Times New Roman" w:hAnsi="Times New Roman"/>
          <w:color w:val="000000"/>
          <w:sz w:val="24"/>
        </w:rPr>
        <w:t>.</w:t>
      </w:r>
      <w:r>
        <w:rPr>
          <w:rFonts w:ascii="Times New Roman" w:hAnsi="Times New Roman"/>
          <w:color w:val="000000"/>
          <w:sz w:val="24"/>
        </w:rPr>
        <w:t> </w:t>
      </w:r>
      <w:r>
        <w:rPr>
          <w:rFonts w:ascii="Times New Roman" w:hAnsi="Times New Roman"/>
          <w:color w:val="000000"/>
          <w:sz w:val="24"/>
        </w:rPr>
        <w:t>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3B000000">
      <w:pPr>
        <w:spacing w:after="0" w:before="0"/>
        <w:ind/>
        <w:jc w:val="both"/>
        <w:rPr>
          <w:rFonts w:ascii="Times New Roman" w:hAnsi="Times New Roman"/>
          <w:color w:val="000000"/>
          <w:sz w:val="24"/>
        </w:rPr>
      </w:pPr>
      <w:r>
        <w:rPr>
          <w:rFonts w:ascii="Times New Roman" w:hAnsi="Times New Roman"/>
          <w:color w:val="000000"/>
          <w:sz w:val="24"/>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3C000000">
      <w:pPr>
        <w:spacing w:after="0" w:before="0"/>
        <w:ind/>
        <w:jc w:val="both"/>
        <w:rPr>
          <w:rFonts w:ascii="Times New Roman" w:hAnsi="Times New Roman"/>
          <w:color w:val="000000"/>
          <w:sz w:val="24"/>
        </w:rPr>
      </w:pPr>
      <w:r>
        <w:rPr>
          <w:rFonts w:ascii="Times New Roman" w:hAnsi="Times New Roman"/>
          <w:color w:val="000000"/>
          <w:sz w:val="24"/>
        </w:rPr>
        <w:t>27</w:t>
      </w:r>
      <w:r>
        <w:rPr>
          <w:rFonts w:ascii="Times New Roman" w:hAnsi="Times New Roman"/>
          <w:color w:val="000000"/>
          <w:sz w:val="24"/>
        </w:rPr>
        <w:t>.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ascii="Times New Roman" w:hAnsi="Times New Roman"/>
          <w:color w:val="000000"/>
          <w:sz w:val="24"/>
        </w:rPr>
        <w:t> </w:t>
      </w:r>
      <w:r>
        <w:rPr>
          <w:rFonts w:ascii="Times New Roman" w:hAnsi="Times New Roman"/>
          <w:color w:val="000000"/>
          <w:sz w:val="24"/>
        </w:rPr>
        <w:t xml:space="preserve">Порядок принятия решения о списании с балансового и </w:t>
      </w:r>
      <w:r>
        <w:rPr>
          <w:rFonts w:ascii="Times New Roman" w:hAnsi="Times New Roman"/>
          <w:color w:val="000000"/>
          <w:sz w:val="24"/>
        </w:rPr>
        <w:t>забалансового</w:t>
      </w:r>
      <w:r>
        <w:rPr>
          <w:rFonts w:ascii="Times New Roman" w:hAnsi="Times New Roman"/>
          <w:color w:val="000000"/>
          <w:sz w:val="24"/>
        </w:rPr>
        <w:t xml:space="preserve"> учета утвержден в положении о списании кредиторской </w:t>
      </w:r>
      <w:r>
        <w:rPr>
          <w:rFonts w:ascii="Times New Roman" w:hAnsi="Times New Roman"/>
          <w:color w:val="000000"/>
          <w:sz w:val="24"/>
        </w:rPr>
        <w:t>задолженности.</w:t>
      </w:r>
    </w:p>
    <w:p w14:paraId="3D000000">
      <w:pPr>
        <w:spacing w:after="0" w:before="0"/>
        <w:ind/>
        <w:jc w:val="both"/>
        <w:rPr>
          <w:rFonts w:ascii="Times New Roman" w:hAnsi="Times New Roman"/>
          <w:color w:val="000000"/>
          <w:sz w:val="24"/>
        </w:rPr>
      </w:pPr>
      <w:r>
        <w:rPr>
          <w:rFonts w:ascii="Times New Roman" w:hAnsi="Times New Roman"/>
          <w:color w:val="000000"/>
          <w:sz w:val="24"/>
        </w:rPr>
        <w:t>28</w:t>
      </w:r>
      <w:r>
        <w:rPr>
          <w:rFonts w:ascii="Times New Roman" w:hAnsi="Times New Roman"/>
          <w:color w:val="000000"/>
          <w:sz w:val="24"/>
        </w:rPr>
        <w:t>.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3E000000">
      <w:pPr>
        <w:spacing w:after="0" w:before="0"/>
        <w:ind/>
        <w:jc w:val="both"/>
        <w:rPr>
          <w:rFonts w:ascii="Times New Roman" w:hAnsi="Times New Roman"/>
          <w:color w:val="000000"/>
          <w:sz w:val="24"/>
        </w:rPr>
      </w:pPr>
      <w:r>
        <w:rPr>
          <w:rFonts w:ascii="Times New Roman" w:hAnsi="Times New Roman"/>
          <w:color w:val="000000"/>
          <w:sz w:val="24"/>
        </w:rPr>
        <w:t>29</w:t>
      </w:r>
      <w:r>
        <w:rPr>
          <w:rFonts w:ascii="Times New Roman" w:hAnsi="Times New Roman"/>
          <w:color w:val="000000"/>
          <w:sz w:val="24"/>
        </w:rPr>
        <w:t>.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3F000000">
      <w:pPr>
        <w:spacing w:after="0" w:before="0"/>
        <w:ind/>
        <w:jc w:val="both"/>
        <w:rPr>
          <w:rFonts w:ascii="Times New Roman" w:hAnsi="Times New Roman"/>
          <w:color w:val="000000"/>
          <w:sz w:val="24"/>
        </w:rPr>
      </w:pPr>
      <w:r>
        <w:rPr>
          <w:rFonts w:ascii="Times New Roman" w:hAnsi="Times New Roman"/>
          <w:color w:val="000000"/>
          <w:sz w:val="24"/>
        </w:rPr>
        <w:t>30</w:t>
      </w:r>
      <w:r>
        <w:rPr>
          <w:rFonts w:ascii="Times New Roman" w:hAnsi="Times New Roman"/>
          <w:color w:val="000000"/>
          <w:sz w:val="24"/>
        </w:rPr>
        <w:t xml:space="preserve">. В </w:t>
      </w:r>
      <w:r>
        <w:rPr>
          <w:rFonts w:ascii="Times New Roman" w:hAnsi="Times New Roman"/>
          <w:color w:val="000000"/>
          <w:sz w:val="24"/>
        </w:rPr>
        <w:t>Театре</w:t>
      </w:r>
      <w:r>
        <w:rPr>
          <w:rFonts w:ascii="Times New Roman" w:hAnsi="Times New Roman"/>
          <w:color w:val="000000"/>
          <w:sz w:val="24"/>
        </w:rPr>
        <w:t xml:space="preserve"> </w:t>
      </w:r>
      <w:r>
        <w:rPr>
          <w:rFonts w:ascii="Times New Roman" w:hAnsi="Times New Roman"/>
          <w:color w:val="000000"/>
          <w:sz w:val="24"/>
        </w:rPr>
        <w:t>создае</w:t>
      </w:r>
      <w:r>
        <w:rPr>
          <w:rFonts w:ascii="Times New Roman" w:hAnsi="Times New Roman"/>
          <w:color w:val="000000"/>
          <w:sz w:val="24"/>
        </w:rPr>
        <w:t>тся Резерв расходов по выплатам персоналу. Порядок расчета резерва приведен в приложении</w:t>
      </w:r>
      <w:r>
        <w:rPr>
          <w:rFonts w:ascii="Times New Roman" w:hAnsi="Times New Roman"/>
          <w:color w:val="000000"/>
          <w:sz w:val="24"/>
        </w:rPr>
        <w:t xml:space="preserve"> к учетной политике</w:t>
      </w:r>
    </w:p>
    <w:p w14:paraId="40000000">
      <w:pPr>
        <w:spacing w:after="0" w:before="0"/>
        <w:ind/>
        <w:jc w:val="both"/>
        <w:rPr>
          <w:rFonts w:ascii="Times New Roman" w:hAnsi="Times New Roman"/>
          <w:color w:val="000000"/>
          <w:sz w:val="24"/>
        </w:rPr>
      </w:pPr>
      <w:r>
        <w:rPr>
          <w:rFonts w:ascii="Times New Roman" w:hAnsi="Times New Roman"/>
          <w:color w:val="000000"/>
          <w:sz w:val="24"/>
        </w:rPr>
        <w:t>31</w:t>
      </w:r>
      <w:r>
        <w:rPr>
          <w:rFonts w:ascii="Times New Roman" w:hAnsi="Times New Roman"/>
          <w:color w:val="000000"/>
          <w:sz w:val="24"/>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41000000">
      <w:pPr>
        <w:spacing w:after="0" w:before="0"/>
        <w:ind/>
        <w:jc w:val="both"/>
        <w:rPr>
          <w:rFonts w:ascii="Times New Roman" w:hAnsi="Times New Roman"/>
          <w:color w:val="000000"/>
          <w:sz w:val="24"/>
        </w:rPr>
      </w:pPr>
      <w:r>
        <w:rPr>
          <w:rFonts w:ascii="Times New Roman" w:hAnsi="Times New Roman"/>
          <w:color w:val="000000"/>
          <w:sz w:val="24"/>
        </w:rPr>
        <w:t>32</w:t>
      </w:r>
      <w:r>
        <w:rPr>
          <w:rFonts w:ascii="Times New Roman" w:hAnsi="Times New Roman"/>
          <w:color w:val="000000"/>
          <w:sz w:val="24"/>
        </w:rPr>
        <w:t xml:space="preserve">.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w:t>
      </w:r>
      <w:r>
        <w:rPr>
          <w:rFonts w:ascii="Times New Roman" w:hAnsi="Times New Roman"/>
          <w:color w:val="000000"/>
          <w:sz w:val="24"/>
        </w:rPr>
        <w:t>в архиве</w:t>
      </w:r>
      <w:r>
        <w:rPr>
          <w:rFonts w:ascii="Times New Roman" w:hAnsi="Times New Roman"/>
          <w:color w:val="000000"/>
          <w:sz w:val="24"/>
        </w:rPr>
        <w:t>.</w:t>
      </w:r>
    </w:p>
    <w:p w14:paraId="42000000">
      <w:pPr>
        <w:spacing w:after="0" w:before="0"/>
        <w:ind/>
        <w:jc w:val="both"/>
        <w:rPr>
          <w:rFonts w:ascii="Times New Roman" w:hAnsi="Times New Roman"/>
          <w:color w:val="000000"/>
          <w:sz w:val="24"/>
        </w:rPr>
      </w:pPr>
      <w:r>
        <w:rPr>
          <w:rFonts w:ascii="Times New Roman" w:hAnsi="Times New Roman"/>
          <w:b w:val="1"/>
          <w:color w:val="000000"/>
          <w:sz w:val="24"/>
        </w:rPr>
        <w:t>Отдельными</w:t>
      </w:r>
      <w:r>
        <w:rPr>
          <w:rFonts w:ascii="Times New Roman" w:hAnsi="Times New Roman"/>
          <w:b w:val="1"/>
          <w:color w:val="000000"/>
          <w:sz w:val="24"/>
        </w:rPr>
        <w:t> </w:t>
      </w:r>
      <w:r>
        <w:rPr>
          <w:rFonts w:ascii="Times New Roman" w:hAnsi="Times New Roman"/>
          <w:b w:val="1"/>
          <w:color w:val="000000"/>
          <w:sz w:val="24"/>
        </w:rPr>
        <w:t>приложениями</w:t>
      </w:r>
      <w:r>
        <w:rPr>
          <w:rFonts w:ascii="Times New Roman" w:hAnsi="Times New Roman"/>
          <w:b w:val="1"/>
          <w:color w:val="000000"/>
          <w:sz w:val="24"/>
        </w:rPr>
        <w:t> </w:t>
      </w:r>
      <w:r>
        <w:rPr>
          <w:rFonts w:ascii="Times New Roman" w:hAnsi="Times New Roman"/>
          <w:b w:val="1"/>
          <w:color w:val="000000"/>
          <w:sz w:val="24"/>
        </w:rPr>
        <w:t>к</w:t>
      </w:r>
      <w:r>
        <w:rPr>
          <w:rFonts w:ascii="Times New Roman" w:hAnsi="Times New Roman"/>
          <w:b w:val="1"/>
          <w:color w:val="000000"/>
          <w:sz w:val="24"/>
        </w:rPr>
        <w:t> </w:t>
      </w:r>
      <w:r>
        <w:rPr>
          <w:rFonts w:ascii="Times New Roman" w:hAnsi="Times New Roman"/>
          <w:b w:val="1"/>
          <w:color w:val="000000"/>
          <w:sz w:val="24"/>
        </w:rPr>
        <w:t>учетной</w:t>
      </w:r>
      <w:r>
        <w:rPr>
          <w:rFonts w:ascii="Times New Roman" w:hAnsi="Times New Roman"/>
          <w:b w:val="1"/>
          <w:color w:val="000000"/>
          <w:sz w:val="24"/>
        </w:rPr>
        <w:t> </w:t>
      </w:r>
      <w:r>
        <w:rPr>
          <w:rFonts w:ascii="Times New Roman" w:hAnsi="Times New Roman"/>
          <w:b w:val="1"/>
          <w:color w:val="000000"/>
          <w:sz w:val="24"/>
        </w:rPr>
        <w:t>политике</w:t>
      </w:r>
      <w:r>
        <w:rPr>
          <w:rFonts w:ascii="Times New Roman" w:hAnsi="Times New Roman"/>
          <w:b w:val="1"/>
          <w:color w:val="000000"/>
          <w:sz w:val="24"/>
        </w:rPr>
        <w:t> </w:t>
      </w:r>
      <w:r>
        <w:rPr>
          <w:rFonts w:ascii="Times New Roman" w:hAnsi="Times New Roman"/>
          <w:b w:val="1"/>
          <w:color w:val="000000"/>
          <w:sz w:val="24"/>
        </w:rPr>
        <w:t>оформлены:</w:t>
      </w:r>
    </w:p>
    <w:p w14:paraId="43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Состав </w:t>
      </w:r>
      <w:r>
        <w:rPr>
          <w:rFonts w:ascii="Times New Roman" w:hAnsi="Times New Roman"/>
          <w:color w:val="000000"/>
          <w:sz w:val="24"/>
        </w:rPr>
        <w:t xml:space="preserve">постоянно действующей </w:t>
      </w:r>
      <w:r>
        <w:rPr>
          <w:rFonts w:ascii="Times New Roman" w:hAnsi="Times New Roman"/>
          <w:color w:val="000000"/>
          <w:sz w:val="24"/>
        </w:rPr>
        <w:t>комиссии по поступлению и выбытию активов.</w:t>
      </w:r>
    </w:p>
    <w:p w14:paraId="44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Состав</w:t>
      </w:r>
      <w:r>
        <w:rPr>
          <w:rFonts w:ascii="Times New Roman" w:hAnsi="Times New Roman"/>
          <w:color w:val="000000"/>
          <w:sz w:val="24"/>
        </w:rPr>
        <w:t xml:space="preserve"> </w:t>
      </w:r>
      <w:r>
        <w:rPr>
          <w:rFonts w:ascii="Times New Roman" w:hAnsi="Times New Roman"/>
          <w:color w:val="000000"/>
          <w:sz w:val="24"/>
        </w:rPr>
        <w:t>инвентаризационной</w:t>
      </w:r>
      <w:r>
        <w:rPr>
          <w:rFonts w:ascii="Times New Roman" w:hAnsi="Times New Roman"/>
          <w:color w:val="000000"/>
          <w:sz w:val="24"/>
        </w:rPr>
        <w:t xml:space="preserve"> </w:t>
      </w:r>
      <w:r>
        <w:rPr>
          <w:rFonts w:ascii="Times New Roman" w:hAnsi="Times New Roman"/>
          <w:color w:val="000000"/>
          <w:sz w:val="24"/>
        </w:rPr>
        <w:t>комиссии</w:t>
      </w:r>
      <w:r>
        <w:rPr>
          <w:rFonts w:ascii="Times New Roman" w:hAnsi="Times New Roman"/>
          <w:color w:val="000000"/>
          <w:sz w:val="24"/>
        </w:rPr>
        <w:t>.</w:t>
      </w:r>
    </w:p>
    <w:p w14:paraId="45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Состав комиссии по проверке показаний одометров автотранспорта.</w:t>
      </w:r>
    </w:p>
    <w:p w14:paraId="46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Состав комиссии для проведения внезапной ревизии кассы.</w:t>
      </w:r>
    </w:p>
    <w:p w14:paraId="47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Перечень </w:t>
      </w:r>
      <w:r>
        <w:rPr>
          <w:rFonts w:ascii="Times New Roman" w:hAnsi="Times New Roman"/>
          <w:color w:val="000000"/>
          <w:sz w:val="24"/>
        </w:rPr>
        <w:t>должностей сотрудников, ответственных за учет, хранение и выдачу бланков строгой</w:t>
      </w:r>
      <w:r>
        <w:rPr>
          <w:rFonts w:ascii="Times New Roman" w:hAnsi="Times New Roman"/>
          <w:color w:val="000000"/>
          <w:sz w:val="24"/>
        </w:rPr>
        <w:t xml:space="preserve"> </w:t>
      </w:r>
      <w:r>
        <w:rPr>
          <w:rFonts w:ascii="Times New Roman" w:hAnsi="Times New Roman"/>
          <w:color w:val="000000"/>
          <w:sz w:val="24"/>
        </w:rPr>
        <w:t>отчетности.</w:t>
      </w:r>
    </w:p>
    <w:p w14:paraId="48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Рабочий план счетов.</w:t>
      </w:r>
    </w:p>
    <w:p w14:paraId="49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Перечень хозяйственного и производственного инвентаря, который включается в состав основных средств.</w:t>
      </w:r>
    </w:p>
    <w:p w14:paraId="4A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Положение о служебных командировках.</w:t>
      </w:r>
    </w:p>
    <w:p w14:paraId="4B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Порядок принятия обязательств.</w:t>
      </w:r>
    </w:p>
    <w:p w14:paraId="4C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 Порядок проведения инвентаризации активов и обязательств.</w:t>
      </w:r>
    </w:p>
    <w:p w14:paraId="4D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 Номера журналов операций.</w:t>
      </w:r>
    </w:p>
    <w:p w14:paraId="4E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 Перечень неунифицированных форм первичных документов. </w:t>
      </w:r>
    </w:p>
    <w:p w14:paraId="4F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Перечень лиц, которые имеют право подписывать первичные документы.</w:t>
      </w:r>
    </w:p>
    <w:p w14:paraId="50000000">
      <w:pPr>
        <w:spacing w:after="0" w:before="0"/>
        <w:ind w:firstLine="0" w:left="420" w:right="180"/>
        <w:contextualSpacing w:val="1"/>
        <w:jc w:val="both"/>
        <w:rPr>
          <w:rFonts w:ascii="Times New Roman" w:hAnsi="Times New Roman"/>
          <w:color w:val="000000"/>
          <w:sz w:val="24"/>
        </w:rPr>
      </w:pPr>
      <w:r>
        <w:rPr>
          <w:rFonts w:ascii="Times New Roman" w:hAnsi="Times New Roman"/>
          <w:color w:val="000000"/>
          <w:sz w:val="24"/>
        </w:rPr>
        <w:t>14. Положение о внутреннем финансовом контроле.</w:t>
      </w:r>
    </w:p>
    <w:p w14:paraId="51000000">
      <w:pPr>
        <w:spacing w:after="0" w:before="0"/>
        <w:ind w:firstLine="0" w:left="420" w:right="180"/>
        <w:contextualSpacing w:val="1"/>
        <w:jc w:val="both"/>
        <w:rPr>
          <w:rFonts w:ascii="Times New Roman" w:hAnsi="Times New Roman"/>
          <w:color w:val="000000"/>
          <w:sz w:val="24"/>
        </w:rPr>
      </w:pPr>
      <w:r>
        <w:rPr>
          <w:rFonts w:ascii="Times New Roman" w:hAnsi="Times New Roman"/>
          <w:color w:val="000000"/>
          <w:sz w:val="24"/>
        </w:rPr>
        <w:t>15. Порядок расчета резерва предс</w:t>
      </w:r>
      <w:r>
        <w:rPr>
          <w:rFonts w:ascii="Times New Roman" w:hAnsi="Times New Roman"/>
          <w:color w:val="000000"/>
          <w:sz w:val="24"/>
        </w:rPr>
        <w:t>т</w:t>
      </w:r>
      <w:r>
        <w:rPr>
          <w:rFonts w:ascii="Times New Roman" w:hAnsi="Times New Roman"/>
          <w:color w:val="000000"/>
          <w:sz w:val="24"/>
        </w:rPr>
        <w:t>оящих расходов по выплатам персоналу.</w:t>
      </w:r>
    </w:p>
    <w:p w14:paraId="52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Номера журналов операций.</w:t>
      </w:r>
    </w:p>
    <w:p w14:paraId="53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Перечень основных первичных учетных документов, прилагаемых к журналам операций.</w:t>
      </w:r>
    </w:p>
    <w:p w14:paraId="54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 Порядок признания в бухгалтерском учете и раскрытия в бухгалтерской (финансовой) отчетности событий после отчетной даты.</w:t>
      </w:r>
    </w:p>
    <w:p w14:paraId="55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 xml:space="preserve"> Порядок и сроки передачи первичных учетных документов для отражения в бухгалтерском учете.</w:t>
      </w:r>
    </w:p>
    <w:p w14:paraId="56000000">
      <w:pPr>
        <w:numPr>
          <w:ilvl w:val="0"/>
          <w:numId w:val="10"/>
        </w:numPr>
        <w:spacing w:after="0" w:before="0"/>
        <w:ind w:firstLine="0" w:left="780" w:right="180"/>
        <w:contextualSpacing w:val="1"/>
        <w:jc w:val="both"/>
        <w:rPr>
          <w:rFonts w:ascii="Times New Roman" w:hAnsi="Times New Roman"/>
          <w:color w:val="000000"/>
          <w:sz w:val="24"/>
        </w:rPr>
      </w:pPr>
      <w:r>
        <w:rPr>
          <w:rFonts w:ascii="Times New Roman" w:hAnsi="Times New Roman"/>
          <w:color w:val="000000"/>
          <w:sz w:val="24"/>
        </w:rPr>
        <w:t>Перечень основных первичных учетных документов, прилагаемых к журналам операций.</w:t>
      </w:r>
    </w:p>
    <w:p w14:paraId="57000000">
      <w:pPr>
        <w:spacing w:after="0" w:before="0"/>
        <w:ind w:right="180"/>
        <w:contextualSpacing w:val="1"/>
        <w:jc w:val="both"/>
        <w:rPr>
          <w:rFonts w:ascii="Times New Roman" w:hAnsi="Times New Roman"/>
          <w:color w:val="000000"/>
          <w:sz w:val="24"/>
        </w:rPr>
      </w:pPr>
      <w:r>
        <w:rPr>
          <w:rFonts w:ascii="Times New Roman" w:hAnsi="Times New Roman"/>
          <w:color w:val="000000"/>
          <w:sz w:val="24"/>
        </w:rPr>
        <w:t>Перечень приложений дополняется к учетной политике по мере необходимости.</w:t>
      </w:r>
    </w:p>
    <w:sectPr>
      <w:pgSz w:h="16839"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2">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decimal"/>
      <w:lvlText w:val="%1."/>
      <w:lvlJc w:val="left"/>
      <w:pPr>
        <w:tabs>
          <w:tab w:leader="none" w:pos="360" w:val="left"/>
        </w:tabs>
        <w:ind w:hanging="360" w:left="36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Autospacing="on" w:beforeAutospacing="on"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basedOn w:val="Style_1"/>
    <w:next w:val="Style_1"/>
    <w:link w:val="Style_9_ch"/>
    <w:uiPriority w:val="9"/>
    <w:qFormat/>
    <w:pPr>
      <w:keepNext w:val="1"/>
      <w:keepLines w:val="1"/>
      <w:ind/>
      <w:outlineLvl w:val="0"/>
    </w:pPr>
    <w:rPr>
      <w:rFonts w:asciiTheme="majorAscii" w:hAnsiTheme="majorHAnsi"/>
      <w:b w:val="1"/>
      <w:color w:themeColor="accent1" w:themeShade="BF" w:val="366091"/>
      <w:sz w:val="28"/>
    </w:rPr>
  </w:style>
  <w:style w:styleId="Style_9_ch" w:type="character">
    <w:name w:val="heading 1"/>
    <w:basedOn w:val="Style_1_ch"/>
    <w:link w:val="Style_9"/>
    <w:rPr>
      <w:rFonts w:asciiTheme="majorAscii" w:hAnsiTheme="majorHAnsi"/>
      <w:b w:val="1"/>
      <w:color w:themeColor="accent1" w:themeShade="BF" w:val="366091"/>
      <w:sz w:val="28"/>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Default Paragraph Font"/>
    <w:link w:val="Style_14_ch"/>
  </w:style>
  <w:style w:styleId="Style_14_ch" w:type="character">
    <w:name w:val="Default Paragraph Font"/>
    <w:link w:val="Style_14"/>
  </w:style>
  <w:style w:styleId="Style_15" w:type="paragraph">
    <w:name w:val="toc 9"/>
    <w:next w:val="Style_1"/>
    <w:link w:val="Style_15_ch"/>
    <w:uiPriority w:val="39"/>
    <w:pPr>
      <w:ind w:firstLine="0" w:left="1600"/>
    </w:pPr>
  </w:style>
  <w:style w:styleId="Style_15_ch" w:type="character">
    <w:name w:val="toc 9"/>
    <w:link w:val="Style_15"/>
  </w:style>
  <w:style w:styleId="Style_16" w:type="paragraph">
    <w:name w:val="toc 8"/>
    <w:next w:val="Style_1"/>
    <w:link w:val="Style_16_ch"/>
    <w:uiPriority w:val="39"/>
    <w:pPr>
      <w:ind w:firstLine="0" w:left="1400"/>
    </w:pPr>
  </w:style>
  <w:style w:styleId="Style_16_ch" w:type="character">
    <w:name w:val="toc 8"/>
    <w:link w:val="Style_16"/>
  </w:style>
  <w:style w:styleId="Style_17" w:type="paragraph">
    <w:name w:val="toc 5"/>
    <w:next w:val="Style_1"/>
    <w:link w:val="Style_17_ch"/>
    <w:uiPriority w:val="39"/>
    <w:pPr>
      <w:ind w:firstLine="0" w:left="800"/>
    </w:pPr>
  </w:style>
  <w:style w:styleId="Style_17_ch" w:type="character">
    <w:name w:val="toc 5"/>
    <w:link w:val="Style_17"/>
  </w:style>
  <w:style w:styleId="Style_18" w:type="paragraph">
    <w:name w:val="Subtitle"/>
    <w:next w:val="Style_1"/>
    <w:link w:val="Style_18_ch"/>
    <w:uiPriority w:val="11"/>
    <w:qFormat/>
    <w:rPr>
      <w:rFonts w:ascii="XO Thames" w:hAnsi="XO Thames"/>
      <w:i w:val="1"/>
      <w:color w:val="616161"/>
      <w:sz w:val="24"/>
    </w:rPr>
  </w:style>
  <w:style w:styleId="Style_18_ch" w:type="character">
    <w:name w:val="Subtitle"/>
    <w:link w:val="Style_18"/>
    <w:rPr>
      <w:rFonts w:ascii="XO Thames" w:hAnsi="XO Thames"/>
      <w:i w:val="1"/>
      <w:color w:val="616161"/>
      <w:sz w:val="24"/>
    </w:rPr>
  </w:style>
  <w:style w:styleId="Style_19" w:type="paragraph">
    <w:name w:val="toc 10"/>
    <w:next w:val="Style_1"/>
    <w:link w:val="Style_19_ch"/>
    <w:uiPriority w:val="39"/>
    <w:pPr>
      <w:ind w:firstLine="0" w:left="1800"/>
    </w:pPr>
  </w:style>
  <w:style w:styleId="Style_19_ch" w:type="character">
    <w:name w:val="toc 10"/>
    <w:link w:val="Style_19"/>
  </w:style>
  <w:style w:styleId="Style_20" w:type="paragraph">
    <w:name w:val="Title"/>
    <w:next w:val="Style_1"/>
    <w:link w:val="Style_20_ch"/>
    <w:uiPriority w:val="10"/>
    <w:qFormat/>
    <w:rPr>
      <w:rFonts w:ascii="XO Thames" w:hAnsi="XO Thames"/>
      <w:b w:val="1"/>
      <w:sz w:val="52"/>
    </w:rPr>
  </w:style>
  <w:style w:styleId="Style_20_ch" w:type="character">
    <w:name w:val="Title"/>
    <w:link w:val="Style_20"/>
    <w:rPr>
      <w:rFonts w:ascii="XO Thames" w:hAnsi="XO Thames"/>
      <w:b w:val="1"/>
      <w:sz w:val="52"/>
    </w:rPr>
  </w:style>
  <w:style w:styleId="Style_21" w:type="paragraph">
    <w:name w:val="heading 4"/>
    <w:next w:val="Style_1"/>
    <w:link w:val="Style_21_ch"/>
    <w:uiPriority w:val="9"/>
    <w:qFormat/>
    <w:pPr>
      <w:spacing w:after="120" w:before="120"/>
      <w:ind/>
      <w:outlineLvl w:val="3"/>
    </w:pPr>
    <w:rPr>
      <w:rFonts w:ascii="XO Thames" w:hAnsi="XO Thames"/>
      <w:b w:val="1"/>
      <w:color w:val="595959"/>
      <w:sz w:val="26"/>
    </w:rPr>
  </w:style>
  <w:style w:styleId="Style_21_ch" w:type="character">
    <w:name w:val="heading 4"/>
    <w:link w:val="Style_21"/>
    <w:rPr>
      <w:rFonts w:ascii="XO Thames" w:hAnsi="XO Thames"/>
      <w:b w:val="1"/>
      <w:color w:val="595959"/>
      <w:sz w:val="26"/>
    </w:rPr>
  </w:style>
  <w:style w:styleId="Style_22" w:type="paragraph">
    <w:name w:val="heading 2"/>
    <w:next w:val="Style_1"/>
    <w:link w:val="Style_22_ch"/>
    <w:uiPriority w:val="9"/>
    <w:qFormat/>
    <w:pPr>
      <w:spacing w:after="120" w:before="120"/>
      <w:ind/>
      <w:outlineLvl w:val="1"/>
    </w:pPr>
    <w:rPr>
      <w:rFonts w:ascii="XO Thames" w:hAnsi="XO Thames"/>
      <w:b w:val="1"/>
      <w:color w:val="00A0FF"/>
      <w:sz w:val="26"/>
    </w:rPr>
  </w:style>
  <w:style w:styleId="Style_22_ch" w:type="character">
    <w:name w:val="heading 2"/>
    <w:link w:val="Style_22"/>
    <w:rPr>
      <w:rFonts w:ascii="XO Thames" w:hAnsi="XO Thames"/>
      <w:b w:val="1"/>
      <w:color w:val="00A0FF"/>
      <w:sz w:val="26"/>
    </w:rPr>
  </w:style>
  <w:style w:default="1" w:styleId="Style_2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MyOffice-CoreFramework-Windows/22-903.417.5503.534.8@RELEASE-DESKTOP-SORREL_HOME-RC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2025-04-12T14:35:38Z</dcterms:modified>
</cp:coreProperties>
</file>